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A527B" w14:textId="6DFE462F" w:rsidR="00094DA1" w:rsidRPr="00094DA1" w:rsidRDefault="00094DA1" w:rsidP="00094DA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94DA1">
        <w:rPr>
          <w:rFonts w:asciiTheme="minorHAnsi" w:hAnsiTheme="minorHAnsi" w:cstheme="minorHAnsi"/>
          <w:b/>
          <w:bCs/>
          <w:sz w:val="28"/>
          <w:szCs w:val="28"/>
        </w:rPr>
        <w:t>MAGP impulsa al agro en Imbabura con una inversión superior a 1,76 millones de dólares</w:t>
      </w:r>
      <w:r w:rsidR="00BA5F43">
        <w:rPr>
          <w:rFonts w:asciiTheme="minorHAnsi" w:hAnsiTheme="minorHAnsi" w:cstheme="minorHAnsi"/>
          <w:b/>
          <w:bCs/>
          <w:sz w:val="28"/>
          <w:szCs w:val="28"/>
        </w:rPr>
        <w:t>,</w:t>
      </w:r>
      <w:r w:rsidRPr="00094DA1">
        <w:rPr>
          <w:rFonts w:asciiTheme="minorHAnsi" w:hAnsiTheme="minorHAnsi" w:cstheme="minorHAnsi"/>
          <w:b/>
          <w:bCs/>
          <w:sz w:val="28"/>
          <w:szCs w:val="28"/>
        </w:rPr>
        <w:t xml:space="preserve"> durante 2025</w:t>
      </w:r>
    </w:p>
    <w:p w14:paraId="63EAF6CC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480AE034" w14:textId="4447A7C5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Con una inversión ejecutada de 1.761.346 dólares, equivalente al 99,73 % del presupuesto asignado, la Dirección Distrital de Imbabura del Ministerio de Agricultura, Ganadería y Pesca (MAGP) presentó los principales resultados de gestión alcanzados durante 2025, enfocados en productividad, riego, legalización de tierras, mecanización y fortalecimiento pecuario.</w:t>
      </w:r>
    </w:p>
    <w:p w14:paraId="6447FA8A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38635D32" w14:textId="0595ABA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l</w:t>
      </w:r>
      <w:r w:rsidRPr="00094DA1">
        <w:rPr>
          <w:rFonts w:asciiTheme="minorHAnsi" w:hAnsiTheme="minorHAnsi" w:cstheme="minorHAnsi"/>
        </w:rPr>
        <w:t>a jornada</w:t>
      </w:r>
      <w:r>
        <w:rPr>
          <w:rFonts w:asciiTheme="minorHAnsi" w:hAnsiTheme="minorHAnsi" w:cstheme="minorHAnsi"/>
        </w:rPr>
        <w:t xml:space="preserve"> se </w:t>
      </w:r>
      <w:r w:rsidRPr="00094DA1">
        <w:rPr>
          <w:rFonts w:asciiTheme="minorHAnsi" w:hAnsiTheme="minorHAnsi" w:cstheme="minorHAnsi"/>
        </w:rPr>
        <w:t>socializar</w:t>
      </w:r>
      <w:r>
        <w:rPr>
          <w:rFonts w:asciiTheme="minorHAnsi" w:hAnsiTheme="minorHAnsi" w:cstheme="minorHAnsi"/>
        </w:rPr>
        <w:t>on</w:t>
      </w:r>
      <w:r w:rsidRPr="00094DA1">
        <w:rPr>
          <w:rFonts w:asciiTheme="minorHAnsi" w:hAnsiTheme="minorHAnsi" w:cstheme="minorHAnsi"/>
        </w:rPr>
        <w:t xml:space="preserve"> los avances desarrollados en beneficio de productores de </w:t>
      </w:r>
      <w:r w:rsidR="004317C8">
        <w:rPr>
          <w:rFonts w:asciiTheme="minorHAnsi" w:hAnsiTheme="minorHAnsi" w:cstheme="minorHAnsi"/>
        </w:rPr>
        <w:t>Ibarra, Otavalo, Antonio Ante, Cotacachi, Pimampiro, San Miguel de Urcuquí</w:t>
      </w:r>
      <w:r w:rsidRPr="00094DA1">
        <w:rPr>
          <w:rFonts w:asciiTheme="minorHAnsi" w:hAnsiTheme="minorHAnsi" w:cstheme="minorHAnsi"/>
        </w:rPr>
        <w:t>, mediante programas orientados a mejorar la competitividad del sector agropecuario, ampliar el acceso a servicios públicos y fortalecer la economía rural.</w:t>
      </w:r>
    </w:p>
    <w:p w14:paraId="56FB1191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78DDCFAC" w14:textId="1611DED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En el ámbito productivo, se entregaron 2.173 paquetes tecnológicos, con una inversión de 367.110 dólares, dirigidos a cultivos como aguacate, frutilla, fréjol, maíz suave, naranjilla, papa, tomate de árbol y mango. Además, se distribuyeron 166 paquetes tecnológicos sostenibles, valorados en 60.768 dólares, para fortalecer sistemas responsables con el ambiente.</w:t>
      </w:r>
    </w:p>
    <w:p w14:paraId="7074FE2E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53481EED" w14:textId="517D9B95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 xml:space="preserve">En materia de mecanización, el MAGP </w:t>
      </w:r>
      <w:r w:rsidR="00A03B9B">
        <w:rPr>
          <w:rFonts w:asciiTheme="minorHAnsi" w:hAnsiTheme="minorHAnsi" w:cstheme="minorHAnsi"/>
        </w:rPr>
        <w:t>apoyó</w:t>
      </w:r>
      <w:r w:rsidRPr="00094DA1">
        <w:rPr>
          <w:rFonts w:asciiTheme="minorHAnsi" w:hAnsiTheme="minorHAnsi" w:cstheme="minorHAnsi"/>
        </w:rPr>
        <w:t xml:space="preserve"> la capacidad operativa de los productores con la </w:t>
      </w:r>
      <w:r w:rsidR="004317C8">
        <w:rPr>
          <w:rFonts w:asciiTheme="minorHAnsi" w:hAnsiTheme="minorHAnsi" w:cstheme="minorHAnsi"/>
        </w:rPr>
        <w:t>dotación</w:t>
      </w:r>
      <w:r w:rsidRPr="00094DA1">
        <w:rPr>
          <w:rFonts w:asciiTheme="minorHAnsi" w:hAnsiTheme="minorHAnsi" w:cstheme="minorHAnsi"/>
        </w:rPr>
        <w:t xml:space="preserve"> de 16 Soluciones de Mecanización Agroproductiva (SOMA</w:t>
      </w:r>
      <w:r w:rsidR="00A03B9B">
        <w:rPr>
          <w:rFonts w:asciiTheme="minorHAnsi" w:hAnsiTheme="minorHAnsi" w:cstheme="minorHAnsi"/>
        </w:rPr>
        <w:t>´s</w:t>
      </w:r>
      <w:r w:rsidRPr="00094DA1">
        <w:rPr>
          <w:rFonts w:asciiTheme="minorHAnsi" w:hAnsiTheme="minorHAnsi" w:cstheme="minorHAnsi"/>
        </w:rPr>
        <w:t>), con una inversión de 620.633 dólares, que permitieron ampliar la cobertura productiva en 1.097 hectáreas. A ello se sumó la incorporación de 11 Unidades Móviles Agroproductivas (UMA), con una inversión de 218.900 dólares, destinadas a facilitar el traslado de productos hacia mercados, centros de acopio y puntos de comercialización.</w:t>
      </w:r>
    </w:p>
    <w:p w14:paraId="39E315FB" w14:textId="77777777" w:rsidR="00094DA1" w:rsidRDefault="00094DA1" w:rsidP="00094DA1">
      <w:pPr>
        <w:jc w:val="both"/>
        <w:rPr>
          <w:rFonts w:asciiTheme="minorHAnsi" w:hAnsiTheme="minorHAnsi" w:cstheme="minorHAnsi"/>
        </w:rPr>
      </w:pPr>
    </w:p>
    <w:p w14:paraId="10D73973" w14:textId="090FB01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En acceso a la tierra, se emitieron 670 providencias de adjudicación y se regularizaron 642 títulos inscritos, lo que permitió avanzar en la seguridad jurídica de predios rurales sobre más de 2.721 hectáreas.</w:t>
      </w:r>
    </w:p>
    <w:p w14:paraId="2BC3B1F7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0D8F2B9F" w14:textId="40EAAA00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En riego tecnificado, se ejecutó el subproyecto de la Junta de Riego Pijumbí, en Urcuquí, con una inversión de 217.563 dólares, beneficiando a 85 productores y habilitando 70,10 hectáreas mediante infraestructura para almacenamiento y distribución eficiente del agua.</w:t>
      </w:r>
    </w:p>
    <w:p w14:paraId="488932E6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52728DFA" w14:textId="60964532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En Agricultura Familiar Campesina, se consolidaron 86 Circuitos Alternativos de Comercialización (CIALCO), se vinculó a 855 productores a espacios de venta y 3.485 productores se incorporaron al registro del sello AFC.</w:t>
      </w:r>
    </w:p>
    <w:p w14:paraId="0FBD834B" w14:textId="57CF1DCA" w:rsidR="00094DA1" w:rsidRDefault="00094DA1" w:rsidP="00094DA1">
      <w:pPr>
        <w:jc w:val="both"/>
        <w:rPr>
          <w:rFonts w:asciiTheme="minorHAnsi" w:hAnsiTheme="minorHAnsi" w:cstheme="minorHAnsi"/>
        </w:rPr>
      </w:pPr>
    </w:p>
    <w:p w14:paraId="3FB6C5E5" w14:textId="61D2B12A" w:rsidR="00094DA1" w:rsidRDefault="00094DA1" w:rsidP="00094DA1">
      <w:pPr>
        <w:jc w:val="both"/>
        <w:rPr>
          <w:rFonts w:asciiTheme="minorHAnsi" w:hAnsiTheme="minorHAnsi" w:cstheme="minorHAnsi"/>
        </w:rPr>
      </w:pPr>
    </w:p>
    <w:p w14:paraId="6AE38354" w14:textId="35321D03" w:rsidR="00094DA1" w:rsidRDefault="00094DA1" w:rsidP="00094DA1">
      <w:pPr>
        <w:jc w:val="both"/>
        <w:rPr>
          <w:rFonts w:asciiTheme="minorHAnsi" w:hAnsiTheme="minorHAnsi" w:cstheme="minorHAnsi"/>
        </w:rPr>
      </w:pPr>
    </w:p>
    <w:p w14:paraId="5E8FBA5B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7462950E" w14:textId="6117DAF3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lastRenderedPageBreak/>
        <w:t xml:space="preserve">En el sector pecuario, el Proyecto Nacional de Reconversión y Sostenibilidad Ganadera registró una inversión de 232.433 dólares. Como parte de esta intervención, se </w:t>
      </w:r>
      <w:r w:rsidR="00A03B9B">
        <w:rPr>
          <w:rFonts w:asciiTheme="minorHAnsi" w:hAnsiTheme="minorHAnsi" w:cstheme="minorHAnsi"/>
        </w:rPr>
        <w:t>concedieron</w:t>
      </w:r>
      <w:r w:rsidRPr="00094DA1">
        <w:rPr>
          <w:rFonts w:asciiTheme="minorHAnsi" w:hAnsiTheme="minorHAnsi" w:cstheme="minorHAnsi"/>
        </w:rPr>
        <w:t xml:space="preserve"> 185 paquetes pecuarios, se implementaron 4 </w:t>
      </w:r>
      <w:r w:rsidR="00A03B9B">
        <w:rPr>
          <w:rFonts w:asciiTheme="minorHAnsi" w:hAnsiTheme="minorHAnsi" w:cstheme="minorHAnsi"/>
        </w:rPr>
        <w:t>E</w:t>
      </w:r>
      <w:r w:rsidRPr="00094DA1">
        <w:rPr>
          <w:rFonts w:asciiTheme="minorHAnsi" w:hAnsiTheme="minorHAnsi" w:cstheme="minorHAnsi"/>
        </w:rPr>
        <w:t xml:space="preserve">scuelas de </w:t>
      </w:r>
      <w:r w:rsidR="00A03B9B">
        <w:rPr>
          <w:rFonts w:asciiTheme="minorHAnsi" w:hAnsiTheme="minorHAnsi" w:cstheme="minorHAnsi"/>
        </w:rPr>
        <w:t>F</w:t>
      </w:r>
      <w:r w:rsidRPr="00094DA1">
        <w:rPr>
          <w:rFonts w:asciiTheme="minorHAnsi" w:hAnsiTheme="minorHAnsi" w:cstheme="minorHAnsi"/>
        </w:rPr>
        <w:t xml:space="preserve">ortalecimiento </w:t>
      </w:r>
      <w:r w:rsidR="00A03B9B">
        <w:rPr>
          <w:rFonts w:asciiTheme="minorHAnsi" w:hAnsiTheme="minorHAnsi" w:cstheme="minorHAnsi"/>
        </w:rPr>
        <w:t>Productivo P</w:t>
      </w:r>
      <w:r w:rsidRPr="00094DA1">
        <w:rPr>
          <w:rFonts w:asciiTheme="minorHAnsi" w:hAnsiTheme="minorHAnsi" w:cstheme="minorHAnsi"/>
        </w:rPr>
        <w:t>ecuario, se capacitó a 80 productores y se distribuy</w:t>
      </w:r>
      <w:r w:rsidR="00A03B9B">
        <w:rPr>
          <w:rFonts w:asciiTheme="minorHAnsi" w:hAnsiTheme="minorHAnsi" w:cstheme="minorHAnsi"/>
        </w:rPr>
        <w:t>ó</w:t>
      </w:r>
      <w:r w:rsidR="004317C8">
        <w:rPr>
          <w:rFonts w:asciiTheme="minorHAnsi" w:hAnsiTheme="minorHAnsi" w:cstheme="minorHAnsi"/>
        </w:rPr>
        <w:t xml:space="preserve"> 94</w:t>
      </w:r>
      <w:r w:rsidRPr="00094DA1">
        <w:rPr>
          <w:rFonts w:asciiTheme="minorHAnsi" w:hAnsiTheme="minorHAnsi" w:cstheme="minorHAnsi"/>
        </w:rPr>
        <w:t xml:space="preserve"> kits para pasturas mejoradas e inseminación artificial bovina.</w:t>
      </w:r>
    </w:p>
    <w:p w14:paraId="04FD3EDD" w14:textId="77777777" w:rsidR="00094DA1" w:rsidRPr="00094DA1" w:rsidRDefault="00094DA1" w:rsidP="00094DA1">
      <w:pPr>
        <w:jc w:val="both"/>
        <w:rPr>
          <w:rFonts w:asciiTheme="minorHAnsi" w:hAnsiTheme="minorHAnsi" w:cstheme="minorHAnsi"/>
        </w:rPr>
      </w:pPr>
    </w:p>
    <w:p w14:paraId="24582C9D" w14:textId="026152AB" w:rsidR="001E20F4" w:rsidRPr="00F81F0C" w:rsidRDefault="00094DA1" w:rsidP="00094DA1">
      <w:pPr>
        <w:jc w:val="both"/>
        <w:rPr>
          <w:rFonts w:asciiTheme="minorHAnsi" w:hAnsiTheme="minorHAnsi" w:cstheme="minorHAnsi"/>
        </w:rPr>
      </w:pPr>
      <w:r w:rsidRPr="00094DA1">
        <w:rPr>
          <w:rFonts w:asciiTheme="minorHAnsi" w:hAnsiTheme="minorHAnsi" w:cstheme="minorHAnsi"/>
        </w:rPr>
        <w:t>Los resultados reflejan el trabajo articulado del MAGP en Imbabura para fortalecer la producción agropecuaria, dinamizar las economías rurales y generar mejores oportunidades para las familias productoras de la provincia</w:t>
      </w:r>
    </w:p>
    <w:sectPr w:rsidR="001E20F4" w:rsidRPr="00F81F0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712" w:right="1701" w:bottom="1417" w:left="1701" w:header="1134" w:footer="708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8F115" w14:textId="77777777" w:rsidR="00D6698C" w:rsidRDefault="00D6698C">
      <w:r>
        <w:separator/>
      </w:r>
    </w:p>
  </w:endnote>
  <w:endnote w:type="continuationSeparator" w:id="0">
    <w:p w14:paraId="0E184A07" w14:textId="77777777" w:rsidR="00D6698C" w:rsidRDefault="00D6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6993D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allowOverlap="1" wp14:anchorId="5B11ECF8" wp14:editId="59BCCACC">
          <wp:simplePos x="0" y="0"/>
          <wp:positionH relativeFrom="column">
            <wp:posOffset>-1073461</wp:posOffset>
          </wp:positionH>
          <wp:positionV relativeFrom="paragraph">
            <wp:posOffset>-1623973</wp:posOffset>
          </wp:positionV>
          <wp:extent cx="7555230" cy="2261487"/>
          <wp:effectExtent l="0" t="0" r="0" b="0"/>
          <wp:wrapNone/>
          <wp:docPr id="3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27457" cy="2283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92C9D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510620AB" wp14:editId="73202665">
          <wp:simplePos x="0" y="0"/>
          <wp:positionH relativeFrom="column">
            <wp:posOffset>-1075055</wp:posOffset>
          </wp:positionH>
          <wp:positionV relativeFrom="paragraph">
            <wp:posOffset>-786765</wp:posOffset>
          </wp:positionV>
          <wp:extent cx="7620000" cy="1421130"/>
          <wp:effectExtent l="0" t="0" r="0" b="0"/>
          <wp:wrapNone/>
          <wp:docPr id="4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421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583B4" w14:textId="77777777" w:rsidR="00D6698C" w:rsidRDefault="00D6698C">
      <w:r>
        <w:separator/>
      </w:r>
    </w:p>
  </w:footnote>
  <w:footnote w:type="continuationSeparator" w:id="0">
    <w:p w14:paraId="4CD6167D" w14:textId="77777777" w:rsidR="00D6698C" w:rsidRDefault="00D66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01056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 wp14:anchorId="0DB251E8" wp14:editId="0CFCD8B2">
          <wp:simplePos x="0" y="0"/>
          <wp:positionH relativeFrom="column">
            <wp:posOffset>-1073150</wp:posOffset>
          </wp:positionH>
          <wp:positionV relativeFrom="paragraph">
            <wp:posOffset>-704002</wp:posOffset>
          </wp:positionV>
          <wp:extent cx="7555230" cy="1177328"/>
          <wp:effectExtent l="0" t="0" r="0" b="0"/>
          <wp:wrapNone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32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DC07B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3ABCD2BF" wp14:editId="78EDACAB">
          <wp:simplePos x="0" y="0"/>
          <wp:positionH relativeFrom="column">
            <wp:posOffset>-1071245</wp:posOffset>
          </wp:positionH>
          <wp:positionV relativeFrom="paragraph">
            <wp:posOffset>-717550</wp:posOffset>
          </wp:positionV>
          <wp:extent cx="7555230" cy="1409065"/>
          <wp:effectExtent l="0" t="0" r="0" b="0"/>
          <wp:wrapNone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3" b="23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409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1C3CF6"/>
    <w:multiLevelType w:val="multilevel"/>
    <w:tmpl w:val="BD3C1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79310B5"/>
    <w:multiLevelType w:val="multilevel"/>
    <w:tmpl w:val="39084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26393987">
    <w:abstractNumId w:val="0"/>
  </w:num>
  <w:num w:numId="2" w16cid:durableId="867331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F4"/>
    <w:rsid w:val="00094DA1"/>
    <w:rsid w:val="001E20F4"/>
    <w:rsid w:val="003445B1"/>
    <w:rsid w:val="003E284F"/>
    <w:rsid w:val="004317C8"/>
    <w:rsid w:val="0044320F"/>
    <w:rsid w:val="005822C7"/>
    <w:rsid w:val="00586643"/>
    <w:rsid w:val="00702C18"/>
    <w:rsid w:val="007969CC"/>
    <w:rsid w:val="007B7E0A"/>
    <w:rsid w:val="007E1CA6"/>
    <w:rsid w:val="007F71A5"/>
    <w:rsid w:val="008F4DB9"/>
    <w:rsid w:val="00936A93"/>
    <w:rsid w:val="00A03B9B"/>
    <w:rsid w:val="00A71276"/>
    <w:rsid w:val="00AE1302"/>
    <w:rsid w:val="00AF52A7"/>
    <w:rsid w:val="00BA5F43"/>
    <w:rsid w:val="00C033EB"/>
    <w:rsid w:val="00D6698C"/>
    <w:rsid w:val="00E541FA"/>
    <w:rsid w:val="00EE6891"/>
    <w:rsid w:val="00F44E4D"/>
    <w:rsid w:val="00F81F0C"/>
    <w:rsid w:val="00F9669E"/>
    <w:rsid w:val="00FD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36E0"/>
  <w15:docId w15:val="{472FDA3E-D603-C543-A598-00C5CB99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s-EC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qFormat/>
  </w:style>
  <w:style w:type="paragraph" w:styleId="Ttul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numbering" w:customStyle="1" w:styleId="Ningunalista">
    <w:name w:val="Ninguna lista"/>
    <w:qFormat/>
  </w:style>
  <w:style w:type="paragraph" w:styleId="NormalWeb">
    <w:name w:val="Normal (Web)"/>
    <w:basedOn w:val="Normal"/>
    <w:uiPriority w:val="99"/>
    <w:unhideWhenUsed/>
    <w:rsid w:val="003445B1"/>
    <w:pPr>
      <w:suppressAutoHyphens w:val="0"/>
      <w:overflowPunct/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Luis Alberto Gualotuña Pastrano</cp:lastModifiedBy>
  <cp:revision>2</cp:revision>
  <dcterms:created xsi:type="dcterms:W3CDTF">2026-04-17T16:31:00Z</dcterms:created>
  <dcterms:modified xsi:type="dcterms:W3CDTF">2026-04-17T16:31:00Z</dcterms:modified>
  <dc:language>es-ES</dc:language>
</cp:coreProperties>
</file>